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both"/>
        <w:rPr>
          <w:rFonts w:ascii="Asap" w:cs="Asap" w:eastAsia="Asap" w:hAnsi="Asap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Josefin Sans" w:cs="Josefin Sans" w:eastAsia="Josefin Sans" w:hAnsi="Josefin Sans"/>
          <w:b w:val="1"/>
          <w:sz w:val="24"/>
          <w:szCs w:val="24"/>
        </w:rPr>
      </w:pPr>
      <w:r w:rsidDel="00000000" w:rsidR="00000000" w:rsidRPr="00000000">
        <w:rPr>
          <w:rFonts w:ascii="Josefin Sans" w:cs="Josefin Sans" w:eastAsia="Josefin Sans" w:hAnsi="Josefin Sans"/>
          <w:b w:val="1"/>
          <w:sz w:val="24"/>
          <w:szCs w:val="24"/>
          <w:rtl w:val="0"/>
        </w:rPr>
        <w:t xml:space="preserve">GUIA DE PRODUCTIVIDAD</w:t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Josefin Sans" w:cs="Josefin Sans" w:eastAsia="Josefin Sans" w:hAnsi="Josefi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rtl w:val="0"/>
        </w:rPr>
        <w:t xml:space="preserve">El sentido de establecer objetivos de productividad para las Plantas de Valorización de Residuos es incrementar el ingreso por venta que los trabajadores puedan obtener.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rtl w:val="0"/>
        </w:rPr>
        <w:t xml:space="preserve">Definimos como </w:t>
      </w:r>
      <w:r w:rsidDel="00000000" w:rsidR="00000000" w:rsidRPr="00000000">
        <w:rPr>
          <w:rFonts w:ascii="Asap" w:cs="Asap" w:eastAsia="Asap" w:hAnsi="Asap"/>
          <w:b w:val="1"/>
          <w:rtl w:val="0"/>
        </w:rPr>
        <w:t xml:space="preserve">Índice de Productividad</w:t>
      </w:r>
      <w:r w:rsidDel="00000000" w:rsidR="00000000" w:rsidRPr="00000000">
        <w:rPr>
          <w:rFonts w:ascii="Asap" w:cs="Asap" w:eastAsia="Asap" w:hAnsi="Asap"/>
          <w:rtl w:val="0"/>
        </w:rPr>
        <w:t xml:space="preserve"> a la relación entre el total de material vendido, medido en Toneladas, a lo largo de un período definido, y el número de trabajadores de la planta en ese período. Para este caso entendemos a la productividad como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rFonts w:ascii="Asap" w:cs="Asap" w:eastAsia="Asap" w:hAnsi="Asap"/>
          <w:b w:val="1"/>
        </w:rPr>
      </w:pPr>
      <w:r w:rsidDel="00000000" w:rsidR="00000000" w:rsidRPr="00000000">
        <w:rPr>
          <w:rFonts w:ascii="Asap" w:cs="Asap" w:eastAsia="Asap" w:hAnsi="Asap"/>
          <w:b w:val="1"/>
          <w:rtl w:val="0"/>
        </w:rPr>
        <w:t xml:space="preserve">IP = TON (MES)/TOTAL PERSONAL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rtl w:val="0"/>
        </w:rPr>
        <w:t xml:space="preserve">Comparar este índice entre distintos períodos permite ver el funcionamiento de la planta y seguir su desarrollo.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rtl w:val="0"/>
        </w:rPr>
        <w:t xml:space="preserve">Para poder mejorar el funcionamiento y encontrar los núcleos de problemas que pueden dificultar su funcionamiento proponemos la Guía adjunta en la que desarrollamos una lista de indicadores que pasamos a explicar, los cuales se agrupan en 3 grupos: (i) procesamiento, (ii) personal, (iii) comercialización.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Procesamiento</w:t>
      </w:r>
    </w:p>
    <w:p w:rsidR="00000000" w:rsidDel="00000000" w:rsidP="00000000" w:rsidRDefault="00000000" w:rsidRPr="00000000" w14:paraId="0000000A">
      <w:pPr>
        <w:spacing w:after="0" w:lineRule="auto"/>
        <w:contextualSpacing w:val="0"/>
        <w:jc w:val="both"/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de Gestión Procedimientos y Registros de los diferentes procesos de la Planta. </w:t>
      </w: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procedimientos son descripciones escritas de cómo se realizan las diferentes tareas de la Planta. Son el resultado de la experiencia que cada Planta desarrolla y permiten trabajar sin repetir errores ya cometidos, utilizar la experiencia previa y mantener formas operativas más allá de las personas que supervisen las tareas. Los registros son los formularios que guardan la información numérica de las operaciones de la Planta y son lo que permite obtener los indicadores de operación.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contextualSpacing w:val="0"/>
        <w:jc w:val="both"/>
        <w:rPr>
          <w:rFonts w:ascii="Asap" w:cs="Asap" w:eastAsia="Asap" w:hAnsi="Asap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sap" w:cs="Asap" w:eastAsia="Asap" w:hAnsi="Asap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Lista de Procedimientos sugeridos</w:t>
      </w:r>
    </w:p>
    <w:p w:rsidR="00000000" w:rsidDel="00000000" w:rsidP="00000000" w:rsidRDefault="00000000" w:rsidRPr="00000000" w14:paraId="0000000D">
      <w:pPr>
        <w:pStyle w:val="Heading2"/>
        <w:numPr>
          <w:ilvl w:val="1"/>
          <w:numId w:val="1"/>
        </w:numPr>
        <w:ind w:left="1440" w:hanging="360"/>
        <w:contextualSpacing w:val="0"/>
        <w:jc w:val="both"/>
        <w:rPr>
          <w:rFonts w:ascii="Asap" w:cs="Asap" w:eastAsia="Asap" w:hAnsi="Asap"/>
          <w:b w:val="0"/>
          <w:color w:val="000000"/>
          <w:sz w:val="22"/>
          <w:szCs w:val="22"/>
        </w:rPr>
      </w:pPr>
      <w:r w:rsidDel="00000000" w:rsidR="00000000" w:rsidRPr="00000000">
        <w:rPr>
          <w:rFonts w:ascii="Asap" w:cs="Asap" w:eastAsia="Asap" w:hAnsi="Asap"/>
          <w:b w:val="0"/>
          <w:color w:val="000000"/>
          <w:sz w:val="22"/>
          <w:szCs w:val="22"/>
          <w:rtl w:val="0"/>
        </w:rPr>
        <w:t xml:space="preserve">Procedimiento de entrega de ropa y elementos de seguridad</w:t>
      </w:r>
    </w:p>
    <w:p w:rsidR="00000000" w:rsidDel="00000000" w:rsidP="00000000" w:rsidRDefault="00000000" w:rsidRPr="00000000" w14:paraId="0000000E">
      <w:pPr>
        <w:pStyle w:val="Heading2"/>
        <w:numPr>
          <w:ilvl w:val="1"/>
          <w:numId w:val="1"/>
        </w:numPr>
        <w:spacing w:before="0" w:lineRule="auto"/>
        <w:ind w:left="1440" w:hanging="360"/>
        <w:contextualSpacing w:val="0"/>
        <w:jc w:val="both"/>
        <w:rPr>
          <w:rFonts w:ascii="Asap" w:cs="Asap" w:eastAsia="Asap" w:hAnsi="Asap"/>
          <w:b w:val="0"/>
          <w:color w:val="000000"/>
          <w:sz w:val="22"/>
          <w:szCs w:val="22"/>
        </w:rPr>
      </w:pPr>
      <w:r w:rsidDel="00000000" w:rsidR="00000000" w:rsidRPr="00000000">
        <w:rPr>
          <w:rFonts w:ascii="Asap" w:cs="Asap" w:eastAsia="Asap" w:hAnsi="Asap"/>
          <w:b w:val="0"/>
          <w:color w:val="000000"/>
          <w:sz w:val="22"/>
          <w:szCs w:val="22"/>
          <w:rtl w:val="0"/>
        </w:rPr>
        <w:t xml:space="preserve">Procedimientos administrativos: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Recepción de camiones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Compras y Ventas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 de Asistencia del Personal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Sueldos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Reglamento de trabajo</w:t>
      </w:r>
    </w:p>
    <w:p w:rsidR="00000000" w:rsidDel="00000000" w:rsidP="00000000" w:rsidRDefault="00000000" w:rsidRPr="00000000" w14:paraId="00000014">
      <w:pPr>
        <w:pStyle w:val="Heading2"/>
        <w:numPr>
          <w:ilvl w:val="1"/>
          <w:numId w:val="1"/>
        </w:numPr>
        <w:spacing w:before="0" w:lineRule="auto"/>
        <w:ind w:left="1440" w:hanging="360"/>
        <w:contextualSpacing w:val="0"/>
        <w:jc w:val="both"/>
        <w:rPr>
          <w:rFonts w:ascii="Asap" w:cs="Asap" w:eastAsia="Asap" w:hAnsi="Asap"/>
          <w:b w:val="0"/>
          <w:color w:val="000000"/>
          <w:sz w:val="22"/>
          <w:szCs w:val="22"/>
        </w:rPr>
      </w:pPr>
      <w:r w:rsidDel="00000000" w:rsidR="00000000" w:rsidRPr="00000000">
        <w:rPr>
          <w:rFonts w:ascii="Asap" w:cs="Asap" w:eastAsia="Asap" w:hAnsi="Asap"/>
          <w:b w:val="0"/>
          <w:color w:val="000000"/>
          <w:sz w:val="22"/>
          <w:szCs w:val="22"/>
          <w:rtl w:val="0"/>
        </w:rPr>
        <w:t xml:space="preserve">Procedimiento de mantenimiento periódico</w:t>
      </w:r>
    </w:p>
    <w:p w:rsidR="00000000" w:rsidDel="00000000" w:rsidP="00000000" w:rsidRDefault="00000000" w:rsidRPr="00000000" w14:paraId="00000015">
      <w:pPr>
        <w:pStyle w:val="Heading2"/>
        <w:numPr>
          <w:ilvl w:val="1"/>
          <w:numId w:val="1"/>
        </w:numPr>
        <w:spacing w:before="0" w:lineRule="auto"/>
        <w:ind w:left="1440" w:hanging="360"/>
        <w:contextualSpacing w:val="0"/>
        <w:jc w:val="both"/>
        <w:rPr>
          <w:rFonts w:ascii="Asap" w:cs="Asap" w:eastAsia="Asap" w:hAnsi="Asap"/>
          <w:b w:val="0"/>
          <w:color w:val="000000"/>
          <w:sz w:val="22"/>
          <w:szCs w:val="22"/>
        </w:rPr>
      </w:pPr>
      <w:r w:rsidDel="00000000" w:rsidR="00000000" w:rsidRPr="00000000">
        <w:rPr>
          <w:rFonts w:ascii="Asap" w:cs="Asap" w:eastAsia="Asap" w:hAnsi="Asap"/>
          <w:b w:val="0"/>
          <w:color w:val="000000"/>
          <w:sz w:val="22"/>
          <w:szCs w:val="22"/>
          <w:rtl w:val="0"/>
        </w:rPr>
        <w:t xml:space="preserve">Procedimiento de seguimiento y control de medidas e instrumentos de seguridad</w:t>
      </w:r>
    </w:p>
    <w:p w:rsidR="00000000" w:rsidDel="00000000" w:rsidP="00000000" w:rsidRDefault="00000000" w:rsidRPr="00000000" w14:paraId="00000016">
      <w:pPr>
        <w:pStyle w:val="Heading2"/>
        <w:numPr>
          <w:ilvl w:val="1"/>
          <w:numId w:val="1"/>
        </w:numPr>
        <w:spacing w:before="0" w:lineRule="auto"/>
        <w:ind w:left="1440" w:hanging="360"/>
        <w:contextualSpacing w:val="0"/>
        <w:jc w:val="both"/>
        <w:rPr>
          <w:rFonts w:ascii="Asap" w:cs="Asap" w:eastAsia="Asap" w:hAnsi="Asap"/>
          <w:b w:val="0"/>
          <w:color w:val="000000"/>
          <w:sz w:val="22"/>
          <w:szCs w:val="22"/>
        </w:rPr>
      </w:pPr>
      <w:r w:rsidDel="00000000" w:rsidR="00000000" w:rsidRPr="00000000">
        <w:rPr>
          <w:rFonts w:ascii="Asap" w:cs="Asap" w:eastAsia="Asap" w:hAnsi="Asap"/>
          <w:b w:val="0"/>
          <w:color w:val="000000"/>
          <w:sz w:val="22"/>
          <w:szCs w:val="22"/>
          <w:rtl w:val="0"/>
        </w:rPr>
        <w:t xml:space="preserve">Procedimiento para la limpieza de espacios comunes</w:t>
      </w:r>
    </w:p>
    <w:p w:rsidR="00000000" w:rsidDel="00000000" w:rsidP="00000000" w:rsidRDefault="00000000" w:rsidRPr="00000000" w14:paraId="00000017">
      <w:pPr>
        <w:pStyle w:val="Heading2"/>
        <w:numPr>
          <w:ilvl w:val="1"/>
          <w:numId w:val="1"/>
        </w:numPr>
        <w:spacing w:before="0" w:lineRule="auto"/>
        <w:ind w:left="1440" w:hanging="360"/>
        <w:contextualSpacing w:val="0"/>
        <w:jc w:val="both"/>
        <w:rPr>
          <w:rFonts w:ascii="Asap" w:cs="Asap" w:eastAsia="Asap" w:hAnsi="Asap"/>
          <w:b w:val="0"/>
          <w:color w:val="000000"/>
          <w:sz w:val="22"/>
          <w:szCs w:val="22"/>
        </w:rPr>
      </w:pPr>
      <w:r w:rsidDel="00000000" w:rsidR="00000000" w:rsidRPr="00000000">
        <w:rPr>
          <w:rFonts w:ascii="Asap" w:cs="Asap" w:eastAsia="Asap" w:hAnsi="Asap"/>
          <w:b w:val="0"/>
          <w:color w:val="000000"/>
          <w:sz w:val="22"/>
          <w:szCs w:val="22"/>
          <w:rtl w:val="0"/>
        </w:rPr>
        <w:t xml:space="preserve">Procedimiento para la limpieza de la Planta </w:t>
      </w:r>
    </w:p>
    <w:p w:rsidR="00000000" w:rsidDel="00000000" w:rsidP="00000000" w:rsidRDefault="00000000" w:rsidRPr="00000000" w14:paraId="00000018">
      <w:pPr>
        <w:pStyle w:val="Heading2"/>
        <w:numPr>
          <w:ilvl w:val="1"/>
          <w:numId w:val="1"/>
        </w:numPr>
        <w:spacing w:before="0" w:lineRule="auto"/>
        <w:ind w:left="1440" w:hanging="360"/>
        <w:contextualSpacing w:val="0"/>
        <w:jc w:val="both"/>
        <w:rPr>
          <w:rFonts w:ascii="Asap" w:cs="Asap" w:eastAsia="Asap" w:hAnsi="Asap"/>
          <w:b w:val="0"/>
          <w:color w:val="000000"/>
          <w:sz w:val="22"/>
          <w:szCs w:val="22"/>
        </w:rPr>
      </w:pPr>
      <w:r w:rsidDel="00000000" w:rsidR="00000000" w:rsidRPr="00000000">
        <w:rPr>
          <w:rFonts w:ascii="Asap" w:cs="Asap" w:eastAsia="Asap" w:hAnsi="Asap"/>
          <w:b w:val="0"/>
          <w:color w:val="000000"/>
          <w:sz w:val="22"/>
          <w:szCs w:val="22"/>
          <w:rtl w:val="0"/>
        </w:rPr>
        <w:t xml:space="preserve">Procedimiento para la recepción de materiales</w:t>
      </w:r>
    </w:p>
    <w:p w:rsidR="00000000" w:rsidDel="00000000" w:rsidP="00000000" w:rsidRDefault="00000000" w:rsidRPr="00000000" w14:paraId="00000019">
      <w:pPr>
        <w:pStyle w:val="Heading2"/>
        <w:numPr>
          <w:ilvl w:val="1"/>
          <w:numId w:val="1"/>
        </w:numPr>
        <w:spacing w:before="0" w:lineRule="auto"/>
        <w:ind w:left="1440" w:hanging="360"/>
        <w:contextualSpacing w:val="0"/>
        <w:jc w:val="both"/>
        <w:rPr>
          <w:rFonts w:ascii="Asap" w:cs="Asap" w:eastAsia="Asap" w:hAnsi="Asap"/>
          <w:b w:val="0"/>
          <w:color w:val="000000"/>
          <w:sz w:val="22"/>
          <w:szCs w:val="22"/>
        </w:rPr>
      </w:pPr>
      <w:r w:rsidDel="00000000" w:rsidR="00000000" w:rsidRPr="00000000">
        <w:rPr>
          <w:rFonts w:ascii="Asap" w:cs="Asap" w:eastAsia="Asap" w:hAnsi="Asap"/>
          <w:b w:val="0"/>
          <w:color w:val="000000"/>
          <w:sz w:val="22"/>
          <w:szCs w:val="22"/>
          <w:rtl w:val="0"/>
        </w:rPr>
        <w:t xml:space="preserve">Procedimiento de Recepción de Insumos</w:t>
      </w:r>
    </w:p>
    <w:p w:rsidR="00000000" w:rsidDel="00000000" w:rsidP="00000000" w:rsidRDefault="00000000" w:rsidRPr="00000000" w14:paraId="0000001A">
      <w:pPr>
        <w:pStyle w:val="Heading2"/>
        <w:numPr>
          <w:ilvl w:val="1"/>
          <w:numId w:val="1"/>
        </w:numPr>
        <w:spacing w:before="0" w:lineRule="auto"/>
        <w:ind w:left="1440" w:hanging="360"/>
        <w:contextualSpacing w:val="0"/>
        <w:jc w:val="both"/>
        <w:rPr>
          <w:rFonts w:ascii="Asap" w:cs="Asap" w:eastAsia="Asap" w:hAnsi="Asap"/>
          <w:b w:val="0"/>
          <w:color w:val="000000"/>
          <w:sz w:val="22"/>
          <w:szCs w:val="22"/>
        </w:rPr>
      </w:pPr>
      <w:r w:rsidDel="00000000" w:rsidR="00000000" w:rsidRPr="00000000">
        <w:rPr>
          <w:rFonts w:ascii="Asap" w:cs="Asap" w:eastAsia="Asap" w:hAnsi="Asap"/>
          <w:b w:val="0"/>
          <w:color w:val="000000"/>
          <w:sz w:val="22"/>
          <w:szCs w:val="22"/>
          <w:rtl w:val="0"/>
        </w:rPr>
        <w:t xml:space="preserve">Procedimiento operaciones de clasificación y valorización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Tolva – Cinta – Rechazo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Bolsones – Prensas – Fardos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Carga y descarga de materiales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contextualSpacing w:val="0"/>
        <w:jc w:val="both"/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Lista de Registros sugeridos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Mensual de Ingresos de Materiales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Mensual de material separado y acopiado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Cantidad de materiales comercializados.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Tipos de material que se separa y se comercializa.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de material de Rechazo enviados a Disposición Final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Mensual de Ventas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de Asistencia de Personal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de Accidentes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de Sueldos y Beneficios adicionales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de Consumo de Combustibles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Constancia de Entrega De Ropa y Elementos de Seguridad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de Horas de Paradas de Máquinas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de Mantenimiento De Maquinaria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Programa de Capacitación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de Asistencia a Talleres de Capacitación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De No Conformidades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both"/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Nivel de Productividad</w:t>
      </w: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Mide la relación entre el material separado para recuperar y la cantidad de personas que debieron trabajar durante ese período en la planta incluyendo ausentes, accidentados, vacaciones, etc.  Toneladas de material separado y acopiado / Persona / Mes. Se obtiene a partir de los Registros de material separado y acopiado y del de Asistencia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Nivel de Utilización de Planta</w:t>
      </w: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Considera una capacidad teórica de la Planta a partir de las instalaciones disponibles. Se compara la cantidad de Residuos Procesados (Tn) / Capacidad Instalada (Tn). Se requiere tener el Registro Mensual de Ingresos de Materiales y un detalle de capacidad instalada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Porcentaje de Rechazo </w:t>
      </w: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Permite analizar la calidad del material ingresante. Mide la Cantidad de Residuos Rechazados (tn) / Cantidad de Residuos Ingresados (tn). Requiere tener el Registro de material Ingresado y de Rechazo enviados a disposición final.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Horas de cinta parada</w:t>
      </w: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Considera las paradas mayores a medio turno de trabajo. Cantidad de horas de Cinta Parada por cualquier causa/Cantidad de horas trabajables del mes. Requiere el Registro de Horas de Paradas de Máquinas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contextualSpacing w:val="0"/>
        <w:jc w:val="both"/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both"/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both"/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Nivel de Ingresos</w:t>
      </w: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mide la relación entre los salarios de los trabajadores y el Salario mínimo vital y móvil. En el promedio se debe considerar la suma de todos los ingresos que tengan los trabajadores ya sean subsidios, reparto de los ingresos por ventas, etc. Salario Promedio ($) / SMVM ($).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Nivel de Ocupación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Formalización de Trabajadores </w:t>
      </w: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Porcentaje de trabajadores formalizados sobre el total de trabajadores. En el caso de asociaciones civiles o cooperativas se considera formalizado a aquel trabajador que está inscripto en el Monotributo social o común.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Ausentismo</w:t>
      </w: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Se mide como la cantidad días perdidos por ausentismo / cantidad días trabajados/mes. Se toma en cuenta a los trabajadores de más de 3 meses de antigüedad. Se requiere llevar un Registro de Asistencias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Rotación anual</w:t>
      </w: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mide como la Cantidad de Personas que renuncian / Cantidad Total de Trabajadores/año. Requiere llevar un Registro de Renunciantes. Se toma en cuenta a los trabajadores de más de 1 mes de antigüedad.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Accidentes</w:t>
      </w: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mide la Cantidad de días perdidos por accidentes / Cantidad total de días trabajados/mes. Requiere llevar un Registro de accidentes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contextualSpacing w:val="0"/>
        <w:jc w:val="both"/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Comercialización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Materiales comercializados:</w:t>
      </w: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son el total de tipos de materiales que son comercializados, incluyendo la diferenciación por color o presentación.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Eficiencia de Venta:</w:t>
      </w: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Cantidad de tipos de materiales comercializados / Cantidad de tipos de materiales separados. Sirve para entender si se están pudiendo vender la totalidad de los materiales recuperados en la cinta de clasificación.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Asap" w:cs="Asap" w:eastAsia="Asap" w:hAnsi="Asap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Precio promedio</w:t>
      </w:r>
      <w:r w:rsidDel="00000000" w:rsidR="00000000" w:rsidRPr="00000000">
        <w:rPr>
          <w:rFonts w:ascii="Asap" w:cs="Asap" w:eastAsia="Asap" w:hAnsi="Asap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Total Facturado / Tn Comercializadas Registro de Ventas.</w:t>
      </w:r>
    </w:p>
    <w:p w:rsidR="00000000" w:rsidDel="00000000" w:rsidP="00000000" w:rsidRDefault="00000000" w:rsidRPr="00000000" w14:paraId="00000044">
      <w:pPr>
        <w:contextualSpacing w:val="0"/>
        <w:jc w:val="both"/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jc w:val="both"/>
        <w:rPr>
          <w:rFonts w:ascii="Asap" w:cs="Asap" w:eastAsia="Asap" w:hAnsi="Asap"/>
        </w:rPr>
      </w:pPr>
      <w:r w:rsidDel="00000000" w:rsidR="00000000" w:rsidRPr="00000000">
        <w:rPr>
          <w:rFonts w:ascii="Asap" w:cs="Asap" w:eastAsia="Asap" w:hAnsi="Asap"/>
          <w:rtl w:val="0"/>
        </w:rPr>
        <w:t xml:space="preserve"> </w:t>
      </w:r>
    </w:p>
    <w:p w:rsidR="00000000" w:rsidDel="00000000" w:rsidP="00000000" w:rsidRDefault="00000000" w:rsidRPr="00000000" w14:paraId="00000046">
      <w:pPr>
        <w:contextualSpacing w:val="0"/>
        <w:jc w:val="both"/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jc w:val="both"/>
        <w:rPr>
          <w:rFonts w:ascii="Asap" w:cs="Asap" w:eastAsia="Asap" w:hAnsi="Asap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Josefi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Asap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contextualSpacing w:val="0"/>
      <w:jc w:val="right"/>
      <w:rPr/>
    </w:pPr>
    <w:r w:rsidDel="00000000" w:rsidR="00000000" w:rsidRPr="00000000">
      <w:rPr/>
      <w:drawing>
        <wp:inline distB="19050" distT="19050" distL="19050" distR="19050">
          <wp:extent cx="1153477" cy="45465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3477" cy="454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ind w:left="432" w:hanging="432"/>
      <w:contextualSpacing w:val="0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  <w:ind w:left="576" w:hanging="576"/>
      <w:contextualSpacing w:val="0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76" w:lineRule="auto"/>
      <w:ind w:left="720" w:hanging="720"/>
      <w:contextualSpacing w:val="0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76" w:lineRule="auto"/>
      <w:ind w:left="864" w:hanging="864"/>
      <w:contextualSpacing w:val="0"/>
    </w:pPr>
    <w:rPr>
      <w:rFonts w:ascii="Calibri" w:cs="Calibri" w:eastAsia="Calibri" w:hAnsi="Calibri"/>
      <w:b w:val="1"/>
      <w:i w:val="1"/>
      <w:color w:val="5b9bd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  <w:ind w:left="1008" w:hanging="1008"/>
      <w:contextualSpacing w:val="0"/>
    </w:pPr>
    <w:rPr>
      <w:rFonts w:ascii="Calibri" w:cs="Calibri" w:eastAsia="Calibri" w:hAnsi="Calibri"/>
      <w:color w:val="1e4d7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  <w:ind w:left="1152" w:hanging="1152"/>
      <w:contextualSpacing w:val="0"/>
    </w:pPr>
    <w:rPr>
      <w:rFonts w:ascii="Calibri" w:cs="Calibri" w:eastAsia="Calibri" w:hAnsi="Calibri"/>
      <w:i w:val="1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efinSans-regular.ttf"/><Relationship Id="rId2" Type="http://schemas.openxmlformats.org/officeDocument/2006/relationships/font" Target="fonts/JosefinSans-bold.ttf"/><Relationship Id="rId3" Type="http://schemas.openxmlformats.org/officeDocument/2006/relationships/font" Target="fonts/JosefinSans-italic.ttf"/><Relationship Id="rId4" Type="http://schemas.openxmlformats.org/officeDocument/2006/relationships/font" Target="fonts/JosefinSans-boldItalic.ttf"/><Relationship Id="rId5" Type="http://schemas.openxmlformats.org/officeDocument/2006/relationships/font" Target="fonts/Asap-regular.ttf"/><Relationship Id="rId6" Type="http://schemas.openxmlformats.org/officeDocument/2006/relationships/font" Target="fonts/Asap-bold.ttf"/><Relationship Id="rId7" Type="http://schemas.openxmlformats.org/officeDocument/2006/relationships/font" Target="fonts/Asap-italic.ttf"/><Relationship Id="rId8" Type="http://schemas.openxmlformats.org/officeDocument/2006/relationships/font" Target="fonts/Asap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